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F2B" w:rsidRPr="00484DED" w:rsidRDefault="00F60F2B" w:rsidP="00484DED">
      <w:pPr>
        <w:spacing w:line="480" w:lineRule="auto"/>
        <w:rPr>
          <w:rFonts w:ascii="Times New Roman" w:hAnsi="Times New Roman" w:cs="Times New Roman"/>
          <w:sz w:val="24"/>
          <w:szCs w:val="24"/>
        </w:rPr>
      </w:pPr>
      <w:bookmarkStart w:id="0" w:name="_GoBack"/>
      <w:bookmarkEnd w:id="0"/>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jc w:val="center"/>
        <w:rPr>
          <w:rFonts w:ascii="Times New Roman" w:hAnsi="Times New Roman" w:cs="Times New Roman"/>
          <w:sz w:val="24"/>
          <w:szCs w:val="24"/>
        </w:rPr>
      </w:pPr>
      <w:r w:rsidRPr="00484DED">
        <w:rPr>
          <w:rFonts w:ascii="Times New Roman" w:hAnsi="Times New Roman" w:cs="Times New Roman"/>
          <w:sz w:val="24"/>
          <w:szCs w:val="24"/>
        </w:rPr>
        <w:t>Wealth and poverty.</w:t>
      </w:r>
    </w:p>
    <w:p w:rsidR="00F60F2B" w:rsidRPr="00484DED" w:rsidRDefault="00F60F2B" w:rsidP="00484DED">
      <w:pPr>
        <w:spacing w:line="480" w:lineRule="auto"/>
        <w:jc w:val="center"/>
        <w:rPr>
          <w:rFonts w:ascii="Times New Roman" w:hAnsi="Times New Roman" w:cs="Times New Roman"/>
          <w:sz w:val="24"/>
          <w:szCs w:val="24"/>
        </w:rPr>
      </w:pPr>
      <w:r w:rsidRPr="00484DED">
        <w:rPr>
          <w:rFonts w:ascii="Times New Roman" w:hAnsi="Times New Roman" w:cs="Times New Roman"/>
          <w:sz w:val="24"/>
          <w:szCs w:val="24"/>
        </w:rPr>
        <w:t>Name.</w:t>
      </w:r>
    </w:p>
    <w:p w:rsidR="00F60F2B" w:rsidRPr="00484DED" w:rsidRDefault="00F60F2B" w:rsidP="00484DED">
      <w:pPr>
        <w:spacing w:line="480" w:lineRule="auto"/>
        <w:jc w:val="center"/>
        <w:rPr>
          <w:rFonts w:ascii="Times New Roman" w:hAnsi="Times New Roman" w:cs="Times New Roman"/>
          <w:sz w:val="24"/>
          <w:szCs w:val="24"/>
        </w:rPr>
      </w:pPr>
      <w:r w:rsidRPr="00484DED">
        <w:rPr>
          <w:rFonts w:ascii="Times New Roman" w:hAnsi="Times New Roman" w:cs="Times New Roman"/>
          <w:sz w:val="24"/>
          <w:szCs w:val="24"/>
        </w:rPr>
        <w:t>Institution.</w:t>
      </w:r>
    </w:p>
    <w:p w:rsidR="00F60F2B" w:rsidRPr="00484DED" w:rsidRDefault="00F60F2B" w:rsidP="00484DED">
      <w:pPr>
        <w:spacing w:line="480" w:lineRule="auto"/>
        <w:jc w:val="center"/>
        <w:rPr>
          <w:rFonts w:ascii="Times New Roman" w:hAnsi="Times New Roman" w:cs="Times New Roman"/>
          <w:sz w:val="24"/>
          <w:szCs w:val="24"/>
        </w:rPr>
      </w:pPr>
      <w:r w:rsidRPr="00484DED">
        <w:rPr>
          <w:rFonts w:ascii="Times New Roman" w:hAnsi="Times New Roman" w:cs="Times New Roman"/>
          <w:sz w:val="24"/>
          <w:szCs w:val="24"/>
        </w:rPr>
        <w:t>Date.</w:t>
      </w: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Pr="00484DED" w:rsidRDefault="00F60F2B" w:rsidP="00484DED">
      <w:pPr>
        <w:spacing w:line="480" w:lineRule="auto"/>
        <w:rPr>
          <w:rFonts w:ascii="Times New Roman" w:hAnsi="Times New Roman" w:cs="Times New Roman"/>
          <w:sz w:val="24"/>
          <w:szCs w:val="24"/>
        </w:rPr>
      </w:pPr>
    </w:p>
    <w:p w:rsidR="00F60F2B" w:rsidRDefault="00F60F2B" w:rsidP="00484DED">
      <w:pPr>
        <w:spacing w:line="480" w:lineRule="auto"/>
        <w:rPr>
          <w:rFonts w:ascii="Times New Roman" w:hAnsi="Times New Roman" w:cs="Times New Roman"/>
          <w:sz w:val="24"/>
          <w:szCs w:val="24"/>
        </w:rPr>
      </w:pPr>
    </w:p>
    <w:p w:rsidR="00484DED" w:rsidRPr="00484DED" w:rsidRDefault="00484DED" w:rsidP="00484DED">
      <w:pPr>
        <w:spacing w:line="480" w:lineRule="auto"/>
        <w:rPr>
          <w:rFonts w:ascii="Times New Roman" w:hAnsi="Times New Roman" w:cs="Times New Roman"/>
          <w:sz w:val="24"/>
          <w:szCs w:val="24"/>
        </w:rPr>
      </w:pPr>
    </w:p>
    <w:p w:rsidR="00380846" w:rsidRPr="00484DED" w:rsidRDefault="00380846" w:rsidP="00B66C03">
      <w:pPr>
        <w:spacing w:line="480" w:lineRule="auto"/>
        <w:rPr>
          <w:rFonts w:ascii="Times New Roman" w:hAnsi="Times New Roman" w:cs="Times New Roman"/>
          <w:sz w:val="24"/>
          <w:szCs w:val="24"/>
        </w:rPr>
      </w:pPr>
    </w:p>
    <w:p w:rsidR="00484DED"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lastRenderedPageBreak/>
        <w:t>Wealth and poverty form the most critical discussions in the religious world. The basic definition of wealth is the state of having abundant possession of valuable products. It is the aspect of being happy and prosperous with an abundance of spiritual well-being. Poverty, on the other hand, is a multidimensional approach which cuts across social, economic, political and spiritual elements of human being. Concerning wealth and poverty, varied biblical perspectives are significant to Christians for proper understanding</w:t>
      </w:r>
      <w:r w:rsidR="00F60F2B" w:rsidRPr="00484DED">
        <w:rPr>
          <w:rFonts w:ascii="Times New Roman" w:hAnsi="Times New Roman" w:cs="Times New Roman"/>
          <w:sz w:val="24"/>
          <w:szCs w:val="24"/>
        </w:rPr>
        <w:t xml:space="preserve"> (</w:t>
      </w:r>
      <w:r w:rsidR="00F60F2B" w:rsidRPr="00484DED">
        <w:rPr>
          <w:rFonts w:ascii="Times New Roman" w:hAnsi="Times New Roman" w:cs="Times New Roman"/>
          <w:color w:val="222222"/>
          <w:sz w:val="24"/>
          <w:szCs w:val="24"/>
          <w:shd w:val="clear" w:color="auto" w:fill="FFFFFF"/>
        </w:rPr>
        <w:t>Rhee, 2017)</w:t>
      </w:r>
      <w:r w:rsidRPr="00484DED">
        <w:rPr>
          <w:rFonts w:ascii="Times New Roman" w:hAnsi="Times New Roman" w:cs="Times New Roman"/>
          <w:sz w:val="24"/>
          <w:szCs w:val="24"/>
        </w:rPr>
        <w:t xml:space="preserve">. As such, biblical definition of wealth is appropriate in dictating how to live godly lives while neglecting asceticism and materialism extremes. </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 xml:space="preserve">The biblical view of poverty is important for Christians if we need to fulfill our Christian responsibilities to the poor. Wealth and poverty forms of the best themes in Christian lives following biblical views. The theme has encountered varied definitions developing from Old Testament to the New Testament due to continuous reinterpretation. In addition to this, wealth and poverty has been defined and interpreted in differently hence bringing about similarities, differences and changes in meaning in varied biblical perspectives. </w:t>
      </w:r>
    </w:p>
    <w:p w:rsidR="00380846" w:rsidRPr="00484DED" w:rsidRDefault="00380846" w:rsidP="00484DED">
      <w:pPr>
        <w:spacing w:line="480" w:lineRule="auto"/>
        <w:jc w:val="center"/>
        <w:rPr>
          <w:rFonts w:ascii="Times New Roman" w:hAnsi="Times New Roman" w:cs="Times New Roman"/>
          <w:b/>
          <w:sz w:val="24"/>
          <w:szCs w:val="24"/>
        </w:rPr>
      </w:pPr>
      <w:r w:rsidRPr="00484DED">
        <w:rPr>
          <w:rFonts w:ascii="Times New Roman" w:hAnsi="Times New Roman" w:cs="Times New Roman"/>
          <w:b/>
          <w:sz w:val="24"/>
          <w:szCs w:val="24"/>
        </w:rPr>
        <w:t>Similarities.</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 xml:space="preserve">Both </w:t>
      </w:r>
      <w:r w:rsidR="00B66C03">
        <w:rPr>
          <w:rFonts w:ascii="Times New Roman" w:hAnsi="Times New Roman" w:cs="Times New Roman"/>
          <w:sz w:val="24"/>
          <w:szCs w:val="24"/>
        </w:rPr>
        <w:t xml:space="preserve">the </w:t>
      </w:r>
      <w:r w:rsidRPr="00484DED">
        <w:rPr>
          <w:rFonts w:ascii="Times New Roman" w:hAnsi="Times New Roman" w:cs="Times New Roman"/>
          <w:sz w:val="24"/>
          <w:szCs w:val="24"/>
        </w:rPr>
        <w:t xml:space="preserve">Old Testament and </w:t>
      </w:r>
      <w:r w:rsidR="00B66C03">
        <w:rPr>
          <w:rFonts w:ascii="Times New Roman" w:hAnsi="Times New Roman" w:cs="Times New Roman"/>
          <w:sz w:val="24"/>
          <w:szCs w:val="24"/>
        </w:rPr>
        <w:t xml:space="preserve">the </w:t>
      </w:r>
      <w:r w:rsidRPr="00484DED">
        <w:rPr>
          <w:rFonts w:ascii="Times New Roman" w:hAnsi="Times New Roman" w:cs="Times New Roman"/>
          <w:sz w:val="24"/>
          <w:szCs w:val="24"/>
        </w:rPr>
        <w:t xml:space="preserve">New Testament </w:t>
      </w:r>
      <w:r w:rsidR="00B66C03" w:rsidRPr="00484DED">
        <w:rPr>
          <w:rFonts w:ascii="Times New Roman" w:hAnsi="Times New Roman" w:cs="Times New Roman"/>
          <w:sz w:val="24"/>
          <w:szCs w:val="24"/>
        </w:rPr>
        <w:t>tend</w:t>
      </w:r>
      <w:r w:rsidR="00B66C03">
        <w:rPr>
          <w:rFonts w:ascii="Times New Roman" w:hAnsi="Times New Roman" w:cs="Times New Roman"/>
          <w:sz w:val="24"/>
          <w:szCs w:val="24"/>
        </w:rPr>
        <w:t xml:space="preserve"> to assert</w:t>
      </w:r>
      <w:r w:rsidRPr="00484DED">
        <w:rPr>
          <w:rFonts w:ascii="Times New Roman" w:hAnsi="Times New Roman" w:cs="Times New Roman"/>
          <w:sz w:val="24"/>
          <w:szCs w:val="24"/>
        </w:rPr>
        <w:t xml:space="preserve"> that wealth is not good for Christians. They all seem to condemn wealth. As evident from the book of Proverbs, though Solomon was a rich man in the Bible, he seems to condemn materialism. Also, in the New Testament, Jesus taught that material wealth could not possess true followers and believers of God. </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 xml:space="preserve">In another perspective, both testaments view wealth as a more complex aspect of Christian’s life. They argue that wealth by its own should not be condemned since it is seen as a </w:t>
      </w:r>
      <w:r w:rsidRPr="00484DED">
        <w:rPr>
          <w:rFonts w:ascii="Times New Roman" w:hAnsi="Times New Roman" w:cs="Times New Roman"/>
          <w:sz w:val="24"/>
          <w:szCs w:val="24"/>
        </w:rPr>
        <w:lastRenderedPageBreak/>
        <w:t>blessing in itself and serves significant duties to the Christian life</w:t>
      </w:r>
      <w:r w:rsidR="00B66C03">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Rhee, 2017)</w:t>
      </w:r>
      <w:r w:rsidRPr="00484DED">
        <w:rPr>
          <w:rFonts w:ascii="Times New Roman" w:hAnsi="Times New Roman" w:cs="Times New Roman"/>
          <w:sz w:val="24"/>
          <w:szCs w:val="24"/>
        </w:rPr>
        <w:t>. As evident in Old Testament (Genesis 13:2), Abraham was a great wealthy man. Similarly, Jesus was born in a middle class working for the family, and in his earthly ministry, he preached that “birds of the air have their nests and foxes have holes.” This contradicts the meaning of wealth to that of poverty. Despite this, Jesus received gracious and expensive gifts from his friends’ and followers as observed in John 12:1-2. This implies that wealth is a form of blessing to the people.</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Further, Jesus and Old Testament teach that there is a need for Christians to be concerned with the effects wealth has on our lives. According to Hosea 13:6, wealth tempts Christians to forget about God. Moreover, Jesus taught how hard it is for a rich man to enter the kingdom of God.  In this regard, both testaments agree that wealth is a substance which can easily bring separation between Christians and God</w:t>
      </w:r>
      <w:r w:rsidR="00B66C03">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Petersen Finch, 2018)</w:t>
      </w:r>
      <w:r w:rsidR="00F60F2B" w:rsidRPr="00484DED">
        <w:rPr>
          <w:rFonts w:ascii="Times New Roman" w:hAnsi="Times New Roman" w:cs="Times New Roman"/>
          <w:sz w:val="24"/>
          <w:szCs w:val="24"/>
        </w:rPr>
        <w:t>.</w:t>
      </w:r>
      <w:r w:rsidRPr="00484DED">
        <w:rPr>
          <w:rFonts w:ascii="Times New Roman" w:hAnsi="Times New Roman" w:cs="Times New Roman"/>
          <w:sz w:val="24"/>
          <w:szCs w:val="24"/>
        </w:rPr>
        <w:t xml:space="preserve"> They state that wealthy followers may not be in a position to search for God in their lives since they can satisfy their needs. Also, the two testaments warn that wealth attributes to arrogance and pride.</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Also, both testaments define poverty as the state of oppression and fraud. In Proverbs 22:7</w:t>
      </w:r>
      <w:r w:rsidR="00B66C03">
        <w:rPr>
          <w:rFonts w:ascii="Times New Roman" w:hAnsi="Times New Roman" w:cs="Times New Roman"/>
          <w:sz w:val="24"/>
          <w:szCs w:val="24"/>
        </w:rPr>
        <w:t>,</w:t>
      </w:r>
      <w:r w:rsidRPr="00484DED">
        <w:rPr>
          <w:rFonts w:ascii="Times New Roman" w:hAnsi="Times New Roman" w:cs="Times New Roman"/>
          <w:sz w:val="24"/>
          <w:szCs w:val="24"/>
        </w:rPr>
        <w:t xml:space="preserve"> many followers remained poor as a result of oppression by government and wealthy individuals</w:t>
      </w:r>
      <w:r w:rsidR="00B66C03">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Rhee, 2017)</w:t>
      </w:r>
      <w:r w:rsidRPr="00484DED">
        <w:rPr>
          <w:rFonts w:ascii="Times New Roman" w:hAnsi="Times New Roman" w:cs="Times New Roman"/>
          <w:sz w:val="24"/>
          <w:szCs w:val="24"/>
        </w:rPr>
        <w:t>. Jesus cautioned that “hand that gives is more blessed than the one that receives” (Acts 20:33). In this regard, he seeks to warn the rich people from oppressing the poor rather they should reciprocate by helping the needy.</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 xml:space="preserve">Poverty is perceived as a consequence of negligence, laziness, or gluttony. As observed in the book of Proverbs, some Christians remain poor due to apathy and improper habits. Also, Jesus taught about the significance of fulfilling the Ten Commandments. Laziness and negligence to </w:t>
      </w:r>
      <w:r w:rsidR="00B66C03" w:rsidRPr="00484DED">
        <w:rPr>
          <w:rFonts w:ascii="Times New Roman" w:hAnsi="Times New Roman" w:cs="Times New Roman"/>
          <w:sz w:val="24"/>
          <w:szCs w:val="24"/>
        </w:rPr>
        <w:t>these commandments</w:t>
      </w:r>
      <w:r w:rsidRPr="00484DED">
        <w:rPr>
          <w:rFonts w:ascii="Times New Roman" w:hAnsi="Times New Roman" w:cs="Times New Roman"/>
          <w:sz w:val="24"/>
          <w:szCs w:val="24"/>
        </w:rPr>
        <w:t xml:space="preserve"> would lead to poverty and steal which is against the will of God.</w:t>
      </w:r>
    </w:p>
    <w:p w:rsidR="00380846" w:rsidRPr="00484DED" w:rsidRDefault="00380846" w:rsidP="00484DED">
      <w:pPr>
        <w:spacing w:line="480" w:lineRule="auto"/>
        <w:jc w:val="center"/>
        <w:rPr>
          <w:rFonts w:ascii="Times New Roman" w:hAnsi="Times New Roman" w:cs="Times New Roman"/>
          <w:b/>
          <w:sz w:val="24"/>
          <w:szCs w:val="24"/>
        </w:rPr>
      </w:pPr>
      <w:r w:rsidRPr="00484DED">
        <w:rPr>
          <w:rFonts w:ascii="Times New Roman" w:hAnsi="Times New Roman" w:cs="Times New Roman"/>
          <w:b/>
          <w:sz w:val="24"/>
          <w:szCs w:val="24"/>
        </w:rPr>
        <w:lastRenderedPageBreak/>
        <w:t>Differences.</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Despite the above similarities, Old Testament and New Testament differ in the mode of development and interpretation of the theme of wealth and poverty. As such, Old Testament is more positive to wealth, unlike the New Testament</w:t>
      </w:r>
      <w:r w:rsidR="00B66C03">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Petersen Finch, 2018)</w:t>
      </w:r>
      <w:r w:rsidRPr="00484DED">
        <w:rPr>
          <w:rFonts w:ascii="Times New Roman" w:hAnsi="Times New Roman" w:cs="Times New Roman"/>
          <w:sz w:val="24"/>
          <w:szCs w:val="24"/>
        </w:rPr>
        <w:t xml:space="preserve">. The New Testament argues that wealth is a great source of temptations, sins, eve amid God’s people and exploitation of the poor. </w:t>
      </w:r>
      <w:r w:rsidR="00B66C03">
        <w:rPr>
          <w:rFonts w:ascii="Times New Roman" w:hAnsi="Times New Roman" w:cs="Times New Roman"/>
          <w:sz w:val="24"/>
          <w:szCs w:val="24"/>
        </w:rPr>
        <w:t xml:space="preserve">The </w:t>
      </w:r>
      <w:r w:rsidRPr="00484DED">
        <w:rPr>
          <w:rFonts w:ascii="Times New Roman" w:hAnsi="Times New Roman" w:cs="Times New Roman"/>
          <w:sz w:val="24"/>
          <w:szCs w:val="24"/>
        </w:rPr>
        <w:t>Old Testament proclaims that one can be rich and Christian if he/she is generous by giving to the poor and do not worship idols.</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In addition to this, some Old Testament books exhibit mixed attitudes and definitions to wealth unlike the New Testament. As such, Old Testament seems to give descriptions of different wealthy kings and at the same time praise their success</w:t>
      </w:r>
      <w:r w:rsidR="00B66C03">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Rhee, 2017)</w:t>
      </w:r>
      <w:r w:rsidRPr="00484DED">
        <w:rPr>
          <w:rFonts w:ascii="Times New Roman" w:hAnsi="Times New Roman" w:cs="Times New Roman"/>
          <w:sz w:val="24"/>
          <w:szCs w:val="24"/>
        </w:rPr>
        <w:t xml:space="preserve">. Other times, wealthy kings are linked with disapproval unlike the case in the New Testament. </w:t>
      </w:r>
    </w:p>
    <w:p w:rsidR="00380846" w:rsidRPr="00484DED" w:rsidRDefault="00B66C03" w:rsidP="00484D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80846" w:rsidRPr="00484DED">
        <w:rPr>
          <w:rFonts w:ascii="Times New Roman" w:hAnsi="Times New Roman" w:cs="Times New Roman"/>
          <w:sz w:val="24"/>
          <w:szCs w:val="24"/>
        </w:rPr>
        <w:t xml:space="preserve">New Testament argues that there should be equalization of wealth and poverty in Christian societies unlike the case in Old Testament. Jesus encourages the rich to help the poor through giving and tithing. In most cases, the rich in Old Testament seems to widen the gap with the poor through oppression. </w:t>
      </w:r>
    </w:p>
    <w:p w:rsidR="00380846" w:rsidRPr="00484DED" w:rsidRDefault="00380846" w:rsidP="00484DED">
      <w:pPr>
        <w:spacing w:line="480" w:lineRule="auto"/>
        <w:jc w:val="center"/>
        <w:rPr>
          <w:rFonts w:ascii="Times New Roman" w:hAnsi="Times New Roman" w:cs="Times New Roman"/>
          <w:sz w:val="24"/>
          <w:szCs w:val="24"/>
        </w:rPr>
      </w:pPr>
      <w:r w:rsidRPr="00484DED">
        <w:rPr>
          <w:rFonts w:ascii="Times New Roman" w:hAnsi="Times New Roman" w:cs="Times New Roman"/>
          <w:b/>
          <w:sz w:val="24"/>
          <w:szCs w:val="24"/>
        </w:rPr>
        <w:t>Changes to the meaning</w:t>
      </w:r>
      <w:r w:rsidRPr="00484DED">
        <w:rPr>
          <w:rFonts w:ascii="Times New Roman" w:hAnsi="Times New Roman" w:cs="Times New Roman"/>
          <w:sz w:val="24"/>
          <w:szCs w:val="24"/>
        </w:rPr>
        <w:t>.</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t>Wealth and poverty have had different meanings. According to Old Testament, wealth has been explained as a source of happiness, blessings, and righteousness to Christians. Moreover, wealth is perceived as essential part of God’s quality creations which humans were given the power to control</w:t>
      </w:r>
      <w:r w:rsidR="00F60F2B" w:rsidRPr="00484DED">
        <w:rPr>
          <w:rFonts w:ascii="Times New Roman" w:hAnsi="Times New Roman" w:cs="Times New Roman"/>
          <w:sz w:val="24"/>
          <w:szCs w:val="24"/>
        </w:rPr>
        <w:t xml:space="preserve"> (</w:t>
      </w:r>
      <w:r w:rsidR="00F60F2B" w:rsidRPr="00484DED">
        <w:rPr>
          <w:rFonts w:ascii="Times New Roman" w:hAnsi="Times New Roman" w:cs="Times New Roman"/>
          <w:color w:val="222222"/>
          <w:sz w:val="24"/>
          <w:szCs w:val="24"/>
          <w:shd w:val="clear" w:color="auto" w:fill="FFFFFF"/>
        </w:rPr>
        <w:t>Petersen Finch, 2018)</w:t>
      </w:r>
      <w:r w:rsidRPr="00484DED">
        <w:rPr>
          <w:rFonts w:ascii="Times New Roman" w:hAnsi="Times New Roman" w:cs="Times New Roman"/>
          <w:sz w:val="24"/>
          <w:szCs w:val="24"/>
        </w:rPr>
        <w:t>. In the New Testament, wealth is defined as an aspect which is deceitful and can bring about distractions to spiritual care hence forfeiting to eternal life.</w:t>
      </w:r>
    </w:p>
    <w:p w:rsidR="00380846" w:rsidRPr="00484DED" w:rsidRDefault="00380846" w:rsidP="00484DED">
      <w:pPr>
        <w:spacing w:line="480" w:lineRule="auto"/>
        <w:ind w:firstLine="720"/>
        <w:rPr>
          <w:rFonts w:ascii="Times New Roman" w:hAnsi="Times New Roman" w:cs="Times New Roman"/>
          <w:sz w:val="24"/>
          <w:szCs w:val="24"/>
        </w:rPr>
      </w:pPr>
      <w:r w:rsidRPr="00484DED">
        <w:rPr>
          <w:rFonts w:ascii="Times New Roman" w:hAnsi="Times New Roman" w:cs="Times New Roman"/>
          <w:sz w:val="24"/>
          <w:szCs w:val="24"/>
        </w:rPr>
        <w:lastRenderedPageBreak/>
        <w:t>On the other hand, poverty has been defined as a consequence of laziness, greed, and negligence to work. It has also been viewed as a curse as observed in the book of Job. New Testament defines poverty as an aspect of isolation, material deprivation, fraud, oppressio</w:t>
      </w:r>
      <w:r w:rsidR="00B66C03">
        <w:rPr>
          <w:rFonts w:ascii="Times New Roman" w:hAnsi="Times New Roman" w:cs="Times New Roman"/>
          <w:sz w:val="24"/>
          <w:szCs w:val="24"/>
        </w:rPr>
        <w:t>n and alienation. I</w:t>
      </w:r>
      <w:r w:rsidRPr="00484DED">
        <w:rPr>
          <w:rFonts w:ascii="Times New Roman" w:hAnsi="Times New Roman" w:cs="Times New Roman"/>
          <w:sz w:val="24"/>
          <w:szCs w:val="24"/>
        </w:rPr>
        <w:t>n this regard, Jesus teaches that the rich should desist from oppressing the poor and help them by giving.</w:t>
      </w:r>
    </w:p>
    <w:p w:rsidR="005F4895" w:rsidRDefault="00B66C03" w:rsidP="00484D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Summing up, </w:t>
      </w:r>
      <w:r w:rsidR="00380846" w:rsidRPr="00484DED">
        <w:rPr>
          <w:rFonts w:ascii="Times New Roman" w:hAnsi="Times New Roman" w:cs="Times New Roman"/>
          <w:sz w:val="24"/>
          <w:szCs w:val="24"/>
        </w:rPr>
        <w:t>wealth and poverty are great stumbling blocks in Christian life. As such, how believers respond to wealth and poverty can describe their spiritual conditions</w:t>
      </w:r>
      <w:r>
        <w:rPr>
          <w:rFonts w:ascii="Times New Roman" w:hAnsi="Times New Roman" w:cs="Times New Roman"/>
          <w:sz w:val="24"/>
          <w:szCs w:val="24"/>
        </w:rPr>
        <w:t xml:space="preserve"> </w:t>
      </w:r>
      <w:r w:rsidR="00F60F2B" w:rsidRPr="00484DED">
        <w:rPr>
          <w:rFonts w:ascii="Times New Roman" w:hAnsi="Times New Roman" w:cs="Times New Roman"/>
          <w:sz w:val="24"/>
          <w:szCs w:val="24"/>
        </w:rPr>
        <w:t>(</w:t>
      </w:r>
      <w:r w:rsidR="00F60F2B" w:rsidRPr="00484DED">
        <w:rPr>
          <w:rFonts w:ascii="Times New Roman" w:hAnsi="Times New Roman" w:cs="Times New Roman"/>
          <w:color w:val="222222"/>
          <w:sz w:val="24"/>
          <w:szCs w:val="24"/>
          <w:shd w:val="clear" w:color="auto" w:fill="FFFFFF"/>
        </w:rPr>
        <w:t>Rhee, 2017)</w:t>
      </w:r>
      <w:r w:rsidR="00380846" w:rsidRPr="00484DED">
        <w:rPr>
          <w:rFonts w:ascii="Times New Roman" w:hAnsi="Times New Roman" w:cs="Times New Roman"/>
          <w:sz w:val="24"/>
          <w:szCs w:val="24"/>
        </w:rPr>
        <w:t>. Moreover, it is highly possible to be rich and Christian at the same time w</w:t>
      </w:r>
      <w:r>
        <w:rPr>
          <w:rFonts w:ascii="Times New Roman" w:hAnsi="Times New Roman" w:cs="Times New Roman"/>
          <w:sz w:val="24"/>
          <w:szCs w:val="24"/>
        </w:rPr>
        <w:t>hen one is a good warden of the riches and depict generosity</w:t>
      </w:r>
      <w:r w:rsidR="00380846" w:rsidRPr="00484DED">
        <w:rPr>
          <w:rFonts w:ascii="Times New Roman" w:hAnsi="Times New Roman" w:cs="Times New Roman"/>
          <w:sz w:val="24"/>
          <w:szCs w:val="24"/>
        </w:rPr>
        <w:t xml:space="preserve"> by giving and avoiding idol worships.</w:t>
      </w: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Default="00C67C37" w:rsidP="00484DED">
      <w:pPr>
        <w:spacing w:line="480" w:lineRule="auto"/>
        <w:ind w:firstLine="720"/>
        <w:rPr>
          <w:rFonts w:ascii="Times New Roman" w:hAnsi="Times New Roman" w:cs="Times New Roman"/>
          <w:sz w:val="24"/>
          <w:szCs w:val="24"/>
        </w:rPr>
      </w:pPr>
    </w:p>
    <w:p w:rsidR="00C67C37" w:rsidRPr="00484DED" w:rsidRDefault="00C67C37" w:rsidP="00C67C37">
      <w:pPr>
        <w:spacing w:line="480" w:lineRule="auto"/>
        <w:rPr>
          <w:rFonts w:ascii="Times New Roman" w:hAnsi="Times New Roman" w:cs="Times New Roman"/>
          <w:sz w:val="24"/>
          <w:szCs w:val="24"/>
        </w:rPr>
      </w:pPr>
    </w:p>
    <w:p w:rsidR="00B66C03" w:rsidRDefault="00B66C03" w:rsidP="00484DED">
      <w:pPr>
        <w:spacing w:line="480" w:lineRule="auto"/>
        <w:jc w:val="center"/>
        <w:rPr>
          <w:rFonts w:ascii="Times New Roman" w:hAnsi="Times New Roman" w:cs="Times New Roman"/>
          <w:sz w:val="24"/>
          <w:szCs w:val="24"/>
        </w:rPr>
      </w:pPr>
    </w:p>
    <w:p w:rsidR="00B66C03" w:rsidRDefault="00B66C03" w:rsidP="00484DED">
      <w:pPr>
        <w:spacing w:line="480" w:lineRule="auto"/>
        <w:jc w:val="center"/>
        <w:rPr>
          <w:rFonts w:ascii="Times New Roman" w:hAnsi="Times New Roman" w:cs="Times New Roman"/>
          <w:sz w:val="24"/>
          <w:szCs w:val="24"/>
        </w:rPr>
      </w:pPr>
    </w:p>
    <w:p w:rsidR="00B66C03" w:rsidRDefault="00B66C03" w:rsidP="00484DED">
      <w:pPr>
        <w:spacing w:line="480" w:lineRule="auto"/>
        <w:jc w:val="center"/>
        <w:rPr>
          <w:rFonts w:ascii="Times New Roman" w:hAnsi="Times New Roman" w:cs="Times New Roman"/>
          <w:sz w:val="24"/>
          <w:szCs w:val="24"/>
        </w:rPr>
      </w:pPr>
    </w:p>
    <w:p w:rsidR="00380846" w:rsidRPr="00484DED" w:rsidRDefault="00380846" w:rsidP="00484DED">
      <w:pPr>
        <w:spacing w:line="480" w:lineRule="auto"/>
        <w:jc w:val="center"/>
        <w:rPr>
          <w:rFonts w:ascii="Times New Roman" w:hAnsi="Times New Roman" w:cs="Times New Roman"/>
          <w:sz w:val="24"/>
          <w:szCs w:val="24"/>
        </w:rPr>
      </w:pPr>
      <w:r w:rsidRPr="00484DED">
        <w:rPr>
          <w:rFonts w:ascii="Times New Roman" w:hAnsi="Times New Roman" w:cs="Times New Roman"/>
          <w:sz w:val="24"/>
          <w:szCs w:val="24"/>
        </w:rPr>
        <w:lastRenderedPageBreak/>
        <w:t>References.</w:t>
      </w:r>
    </w:p>
    <w:p w:rsidR="00484DED" w:rsidRPr="00484DED" w:rsidRDefault="00484DED" w:rsidP="00B66C03">
      <w:pPr>
        <w:spacing w:line="480" w:lineRule="auto"/>
        <w:ind w:left="1008" w:hanging="1008"/>
        <w:rPr>
          <w:rFonts w:ascii="Times New Roman" w:hAnsi="Times New Roman" w:cs="Times New Roman"/>
          <w:sz w:val="24"/>
          <w:szCs w:val="24"/>
        </w:rPr>
      </w:pPr>
      <w:r w:rsidRPr="00484DED">
        <w:rPr>
          <w:rFonts w:ascii="Times New Roman" w:hAnsi="Times New Roman" w:cs="Times New Roman"/>
          <w:color w:val="222222"/>
          <w:sz w:val="24"/>
          <w:szCs w:val="24"/>
          <w:shd w:val="clear" w:color="auto" w:fill="FFFFFF"/>
        </w:rPr>
        <w:t>Petersen Finch, K. (2018). Theology and the University in Nineteenth-Century Germany: by Zachary Purvis, Oxford, England: Oxford University Press, 2016, 271 pp., $82.75 (hardcover), ISBN: 978-0198783381.</w:t>
      </w:r>
    </w:p>
    <w:p w:rsidR="00484DED" w:rsidRPr="00484DED" w:rsidRDefault="00484DED" w:rsidP="00B66C03">
      <w:pPr>
        <w:spacing w:line="480" w:lineRule="auto"/>
        <w:ind w:left="1008" w:hanging="1008"/>
        <w:rPr>
          <w:rFonts w:ascii="Times New Roman" w:hAnsi="Times New Roman" w:cs="Times New Roman"/>
          <w:color w:val="222222"/>
          <w:sz w:val="24"/>
          <w:szCs w:val="24"/>
          <w:shd w:val="clear" w:color="auto" w:fill="FFFFFF"/>
        </w:rPr>
      </w:pPr>
      <w:r w:rsidRPr="00484DED">
        <w:rPr>
          <w:rFonts w:ascii="Times New Roman" w:hAnsi="Times New Roman" w:cs="Times New Roman"/>
          <w:color w:val="222222"/>
          <w:sz w:val="24"/>
          <w:szCs w:val="24"/>
          <w:shd w:val="clear" w:color="auto" w:fill="FFFFFF"/>
        </w:rPr>
        <w:t>Rhee, H. (2017). </w:t>
      </w:r>
      <w:r w:rsidRPr="00484DED">
        <w:rPr>
          <w:rFonts w:ascii="Times New Roman" w:hAnsi="Times New Roman" w:cs="Times New Roman"/>
          <w:i/>
          <w:iCs/>
          <w:color w:val="222222"/>
          <w:sz w:val="24"/>
          <w:szCs w:val="24"/>
          <w:shd w:val="clear" w:color="auto" w:fill="FFFFFF"/>
        </w:rPr>
        <w:t>Wealth and Poverty in Early Christianity</w:t>
      </w:r>
      <w:r w:rsidRPr="00484DED">
        <w:rPr>
          <w:rFonts w:ascii="Times New Roman" w:hAnsi="Times New Roman" w:cs="Times New Roman"/>
          <w:color w:val="222222"/>
          <w:sz w:val="24"/>
          <w:szCs w:val="24"/>
          <w:shd w:val="clear" w:color="auto" w:fill="FFFFFF"/>
        </w:rPr>
        <w:t>. Fortress Press.</w:t>
      </w:r>
    </w:p>
    <w:sectPr w:rsidR="00484DED" w:rsidRPr="00484DED" w:rsidSect="00F60F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D23" w:rsidRDefault="00897D23" w:rsidP="00F60F2B">
      <w:pPr>
        <w:spacing w:after="0" w:line="240" w:lineRule="auto"/>
      </w:pPr>
      <w:r>
        <w:separator/>
      </w:r>
    </w:p>
  </w:endnote>
  <w:endnote w:type="continuationSeparator" w:id="1">
    <w:p w:rsidR="00897D23" w:rsidRDefault="00897D23" w:rsidP="00F60F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D23" w:rsidRDefault="00897D23" w:rsidP="00F60F2B">
      <w:pPr>
        <w:spacing w:after="0" w:line="240" w:lineRule="auto"/>
      </w:pPr>
      <w:r>
        <w:separator/>
      </w:r>
    </w:p>
  </w:footnote>
  <w:footnote w:type="continuationSeparator" w:id="1">
    <w:p w:rsidR="00897D23" w:rsidRDefault="00897D23" w:rsidP="00F60F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2B" w:rsidRPr="00F60F2B" w:rsidRDefault="00F60F2B" w:rsidP="00F60F2B">
    <w:pPr>
      <w:rPr>
        <w:rFonts w:ascii="Times New Roman" w:hAnsi="Times New Roman" w:cs="Times New Roman"/>
        <w:sz w:val="24"/>
        <w:szCs w:val="24"/>
      </w:rPr>
    </w:pPr>
    <w:r w:rsidRPr="00F60F2B">
      <w:rPr>
        <w:rFonts w:ascii="Times New Roman" w:hAnsi="Times New Roman" w:cs="Times New Roman"/>
        <w:sz w:val="24"/>
        <w:szCs w:val="24"/>
      </w:rPr>
      <w:t>WEALTH AND POVERTY.</w:t>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sdt>
      <w:sdtPr>
        <w:rPr>
          <w:rFonts w:ascii="Times New Roman" w:hAnsi="Times New Roman" w:cs="Times New Roman"/>
          <w:sz w:val="24"/>
          <w:szCs w:val="24"/>
        </w:rPr>
        <w:id w:val="358787167"/>
        <w:docPartObj>
          <w:docPartGallery w:val="Page Numbers (Top of Page)"/>
          <w:docPartUnique/>
        </w:docPartObj>
      </w:sdtPr>
      <w:sdtEndPr>
        <w:rPr>
          <w:noProof/>
        </w:rPr>
      </w:sdtEndPr>
      <w:sdtContent>
        <w:r w:rsidR="00FA2588" w:rsidRPr="00F60F2B">
          <w:rPr>
            <w:rFonts w:ascii="Times New Roman" w:hAnsi="Times New Roman" w:cs="Times New Roman"/>
            <w:sz w:val="24"/>
            <w:szCs w:val="24"/>
          </w:rPr>
          <w:fldChar w:fldCharType="begin"/>
        </w:r>
        <w:r w:rsidRPr="00F60F2B">
          <w:rPr>
            <w:rFonts w:ascii="Times New Roman" w:hAnsi="Times New Roman" w:cs="Times New Roman"/>
            <w:sz w:val="24"/>
            <w:szCs w:val="24"/>
          </w:rPr>
          <w:instrText xml:space="preserve"> PAGE   \* MERGEFORMAT </w:instrText>
        </w:r>
        <w:r w:rsidR="00FA2588" w:rsidRPr="00F60F2B">
          <w:rPr>
            <w:rFonts w:ascii="Times New Roman" w:hAnsi="Times New Roman" w:cs="Times New Roman"/>
            <w:sz w:val="24"/>
            <w:szCs w:val="24"/>
          </w:rPr>
          <w:fldChar w:fldCharType="separate"/>
        </w:r>
        <w:r w:rsidR="00B66C03">
          <w:rPr>
            <w:rFonts w:ascii="Times New Roman" w:hAnsi="Times New Roman" w:cs="Times New Roman"/>
            <w:noProof/>
            <w:sz w:val="24"/>
            <w:szCs w:val="24"/>
          </w:rPr>
          <w:t>2</w:t>
        </w:r>
        <w:r w:rsidR="00FA2588" w:rsidRPr="00F60F2B">
          <w:rPr>
            <w:rFonts w:ascii="Times New Roman" w:hAnsi="Times New Roman" w:cs="Times New Roman"/>
            <w:noProof/>
            <w:sz w:val="24"/>
            <w:szCs w:val="24"/>
          </w:rPr>
          <w:fldChar w:fldCharType="end"/>
        </w:r>
      </w:sdtContent>
    </w:sdt>
  </w:p>
  <w:p w:rsidR="00F60F2B" w:rsidRPr="00F60F2B" w:rsidRDefault="00F60F2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2B" w:rsidRPr="00F60F2B" w:rsidRDefault="00F60F2B" w:rsidP="00F60F2B">
    <w:pPr>
      <w:rPr>
        <w:rFonts w:ascii="Times New Roman" w:hAnsi="Times New Roman" w:cs="Times New Roman"/>
        <w:sz w:val="24"/>
        <w:szCs w:val="24"/>
      </w:rPr>
    </w:pPr>
    <w:r w:rsidRPr="00F60F2B">
      <w:rPr>
        <w:rFonts w:ascii="Times New Roman" w:hAnsi="Times New Roman" w:cs="Times New Roman"/>
        <w:sz w:val="24"/>
        <w:szCs w:val="24"/>
      </w:rPr>
      <w:t xml:space="preserve">Running Head: WEALTH AND POVERTY.  </w:t>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r w:rsidRPr="00F60F2B">
      <w:rPr>
        <w:rFonts w:ascii="Times New Roman" w:hAnsi="Times New Roman" w:cs="Times New Roman"/>
        <w:sz w:val="24"/>
        <w:szCs w:val="24"/>
      </w:rPr>
      <w:tab/>
    </w:r>
    <w:sdt>
      <w:sdtPr>
        <w:rPr>
          <w:rFonts w:ascii="Times New Roman" w:hAnsi="Times New Roman" w:cs="Times New Roman"/>
          <w:sz w:val="24"/>
          <w:szCs w:val="24"/>
        </w:rPr>
        <w:id w:val="-1720278425"/>
        <w:docPartObj>
          <w:docPartGallery w:val="Page Numbers (Top of Page)"/>
          <w:docPartUnique/>
        </w:docPartObj>
      </w:sdtPr>
      <w:sdtEndPr>
        <w:rPr>
          <w:noProof/>
        </w:rPr>
      </w:sdtEndPr>
      <w:sdtContent>
        <w:r w:rsidR="00FA2588" w:rsidRPr="00F60F2B">
          <w:rPr>
            <w:rFonts w:ascii="Times New Roman" w:hAnsi="Times New Roman" w:cs="Times New Roman"/>
            <w:sz w:val="24"/>
            <w:szCs w:val="24"/>
          </w:rPr>
          <w:fldChar w:fldCharType="begin"/>
        </w:r>
        <w:r w:rsidRPr="00F60F2B">
          <w:rPr>
            <w:rFonts w:ascii="Times New Roman" w:hAnsi="Times New Roman" w:cs="Times New Roman"/>
            <w:sz w:val="24"/>
            <w:szCs w:val="24"/>
          </w:rPr>
          <w:instrText xml:space="preserve"> PAGE   \* MERGEFORMAT </w:instrText>
        </w:r>
        <w:r w:rsidR="00FA2588" w:rsidRPr="00F60F2B">
          <w:rPr>
            <w:rFonts w:ascii="Times New Roman" w:hAnsi="Times New Roman" w:cs="Times New Roman"/>
            <w:sz w:val="24"/>
            <w:szCs w:val="24"/>
          </w:rPr>
          <w:fldChar w:fldCharType="separate"/>
        </w:r>
        <w:r w:rsidR="00B66C03">
          <w:rPr>
            <w:rFonts w:ascii="Times New Roman" w:hAnsi="Times New Roman" w:cs="Times New Roman"/>
            <w:noProof/>
            <w:sz w:val="24"/>
            <w:szCs w:val="24"/>
          </w:rPr>
          <w:t>1</w:t>
        </w:r>
        <w:r w:rsidR="00FA2588" w:rsidRPr="00F60F2B">
          <w:rPr>
            <w:rFonts w:ascii="Times New Roman" w:hAnsi="Times New Roman" w:cs="Times New Roman"/>
            <w:noProof/>
            <w:sz w:val="24"/>
            <w:szCs w:val="24"/>
          </w:rPr>
          <w:fldChar w:fldCharType="end"/>
        </w:r>
      </w:sdtContent>
    </w:sdt>
  </w:p>
  <w:p w:rsidR="00F60F2B" w:rsidRPr="00F60F2B" w:rsidRDefault="00F60F2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7783"/>
    <w:rsid w:val="0009219E"/>
    <w:rsid w:val="000E20F9"/>
    <w:rsid w:val="000E6C42"/>
    <w:rsid w:val="000F138C"/>
    <w:rsid w:val="0029348E"/>
    <w:rsid w:val="002C540D"/>
    <w:rsid w:val="00380846"/>
    <w:rsid w:val="00396487"/>
    <w:rsid w:val="003A6FB1"/>
    <w:rsid w:val="004215C8"/>
    <w:rsid w:val="00480B3E"/>
    <w:rsid w:val="00484DED"/>
    <w:rsid w:val="00556A6E"/>
    <w:rsid w:val="005E6F8A"/>
    <w:rsid w:val="005F4895"/>
    <w:rsid w:val="00627783"/>
    <w:rsid w:val="00667B4C"/>
    <w:rsid w:val="006F40FB"/>
    <w:rsid w:val="00897D23"/>
    <w:rsid w:val="008D4A55"/>
    <w:rsid w:val="008D4D6B"/>
    <w:rsid w:val="00981BF6"/>
    <w:rsid w:val="00A56C33"/>
    <w:rsid w:val="00B222FA"/>
    <w:rsid w:val="00B57ED1"/>
    <w:rsid w:val="00B66A60"/>
    <w:rsid w:val="00B66C03"/>
    <w:rsid w:val="00C67C37"/>
    <w:rsid w:val="00DB74BB"/>
    <w:rsid w:val="00DF08C9"/>
    <w:rsid w:val="00E75491"/>
    <w:rsid w:val="00E926FD"/>
    <w:rsid w:val="00F60F2B"/>
    <w:rsid w:val="00FA2588"/>
    <w:rsid w:val="00FF6B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5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F2B"/>
  </w:style>
  <w:style w:type="paragraph" w:styleId="Footer">
    <w:name w:val="footer"/>
    <w:basedOn w:val="Normal"/>
    <w:link w:val="FooterChar"/>
    <w:uiPriority w:val="99"/>
    <w:unhideWhenUsed/>
    <w:rsid w:val="00F60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F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2D661-944B-426A-9CF6-E66E6206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2018-01-10T19:49:00Z</dcterms:created>
  <dcterms:modified xsi:type="dcterms:W3CDTF">2018-01-10T19:49:00Z</dcterms:modified>
</cp:coreProperties>
</file>